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64B5" w14:textId="02B0A18A" w:rsidR="004B18CC" w:rsidRDefault="00352298" w:rsidP="00352298">
      <w:pPr>
        <w:jc w:val="center"/>
        <w:rPr>
          <w:rFonts w:ascii="Arial" w:hAnsi="Arial" w:cs="Arial"/>
          <w:b/>
          <w:bCs/>
          <w:color w:val="000000"/>
          <w:spacing w:val="8"/>
          <w:sz w:val="45"/>
          <w:szCs w:val="45"/>
        </w:rPr>
      </w:pPr>
      <w:r>
        <w:rPr>
          <w:rFonts w:ascii="Arial" w:hAnsi="Arial" w:cs="Arial"/>
          <w:b/>
          <w:bCs/>
          <w:color w:val="000000"/>
          <w:spacing w:val="8"/>
          <w:sz w:val="45"/>
          <w:szCs w:val="45"/>
        </w:rPr>
        <w:t>Реализация расчета начислений по формуле №15 Постановления №354</w:t>
      </w:r>
    </w:p>
    <w:p w14:paraId="56305F27" w14:textId="320757B6" w:rsidR="00352298" w:rsidRPr="00352298" w:rsidRDefault="00352298" w:rsidP="00352298">
      <w:pPr>
        <w:spacing w:after="75" w:line="444" w:lineRule="atLeast"/>
        <w:jc w:val="center"/>
        <w:rPr>
          <w:rFonts w:ascii="Arial" w:eastAsia="Times New Roman" w:hAnsi="Arial" w:cs="Arial"/>
          <w:color w:val="070B0E"/>
          <w:sz w:val="24"/>
          <w:szCs w:val="24"/>
          <w:lang w:eastAsia="ru-RU"/>
        </w:rPr>
      </w:pPr>
      <w:r w:rsidRPr="00352298">
        <w:rPr>
          <w:rFonts w:ascii="Arial" w:eastAsia="Times New Roman" w:hAnsi="Arial" w:cs="Arial"/>
          <w:noProof/>
          <w:color w:val="3C6B9B"/>
          <w:sz w:val="24"/>
          <w:szCs w:val="24"/>
          <w:lang w:eastAsia="ru-RU"/>
        </w:rPr>
        <w:drawing>
          <wp:inline distT="0" distB="0" distL="0" distR="0" wp14:anchorId="423068C7" wp14:editId="0B4A0751">
            <wp:extent cx="3190875" cy="704850"/>
            <wp:effectExtent l="0" t="0" r="9525" b="0"/>
            <wp:docPr id="1" name="Рисунок 1" descr="Формула для расчета ">
              <a:hlinkClick xmlns:a="http://schemas.openxmlformats.org/drawingml/2006/main" r:id="rId4" tooltip="&quot;Форму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для расчета ">
                      <a:hlinkClick r:id="rId4" tooltip="&quot;Форму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323D" w14:textId="77777777" w:rsidR="00352298" w:rsidRPr="00352298" w:rsidRDefault="00352298" w:rsidP="0035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2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9F7042E" w14:textId="37C41EFB" w:rsidR="00352298" w:rsidRPr="00352298" w:rsidRDefault="00352298" w:rsidP="00352298">
      <w:pPr>
        <w:spacing w:after="75" w:line="444" w:lineRule="atLeast"/>
        <w:rPr>
          <w:rFonts w:ascii="Arial" w:eastAsia="Times New Roman" w:hAnsi="Arial" w:cs="Arial"/>
          <w:color w:val="070B0E"/>
          <w:sz w:val="24"/>
          <w:szCs w:val="24"/>
          <w:lang w:eastAsia="ru-RU"/>
        </w:rPr>
      </w:pPr>
      <w:proofErr w:type="spellStart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>N</w:t>
      </w:r>
      <w:r w:rsidRPr="00352298">
        <w:rPr>
          <w:rFonts w:ascii="Arial" w:eastAsia="Times New Roman" w:hAnsi="Arial" w:cs="Arial"/>
          <w:color w:val="070B0E"/>
          <w:sz w:val="24"/>
          <w:szCs w:val="24"/>
          <w:vertAlign w:val="superscript"/>
          <w:lang w:eastAsia="ru-RU"/>
        </w:rPr>
        <w:t>одн</w:t>
      </w:r>
      <w:proofErr w:type="spellEnd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- норматив потребления коммунальной услуги, предоставленной на общедомовые нужды в многоквартирном доме</w:t>
      </w:r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(Приказ 3.10-40-П от 03.07.2018)</w:t>
      </w:r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; </w:t>
      </w:r>
      <w:bookmarkStart w:id="0" w:name="_GoBack"/>
      <w:bookmarkEnd w:id="0"/>
    </w:p>
    <w:p w14:paraId="1468577E" w14:textId="4857B6C6" w:rsidR="00352298" w:rsidRPr="00352298" w:rsidRDefault="00352298" w:rsidP="00352298">
      <w:pPr>
        <w:spacing w:after="75" w:line="444" w:lineRule="atLeast"/>
        <w:rPr>
          <w:rFonts w:ascii="Arial" w:eastAsia="Times New Roman" w:hAnsi="Arial" w:cs="Arial"/>
          <w:color w:val="070B0E"/>
          <w:sz w:val="24"/>
          <w:szCs w:val="24"/>
          <w:lang w:eastAsia="ru-RU"/>
        </w:rPr>
      </w:pPr>
      <w:proofErr w:type="spellStart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>S</w:t>
      </w:r>
      <w:r w:rsidRPr="00352298">
        <w:rPr>
          <w:rFonts w:ascii="Arial" w:eastAsia="Times New Roman" w:hAnsi="Arial" w:cs="Arial"/>
          <w:color w:val="070B0E"/>
          <w:sz w:val="24"/>
          <w:szCs w:val="24"/>
          <w:vertAlign w:val="superscript"/>
          <w:lang w:eastAsia="ru-RU"/>
        </w:rPr>
        <w:t>ои</w:t>
      </w:r>
      <w:proofErr w:type="spellEnd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- общая площадь помещений, входящих в состав общего имущества в многоквартирном доме</w:t>
      </w:r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(</w:t>
      </w:r>
      <w:hyperlink r:id="rId6" w:tgtFrame="_blank" w:history="1">
        <w:r w:rsidRPr="00352298">
          <w:rPr>
            <w:rFonts w:ascii="Arial" w:eastAsia="Times New Roman" w:hAnsi="Arial" w:cs="Arial"/>
            <w:color w:val="070B0E"/>
            <w:sz w:val="24"/>
            <w:szCs w:val="24"/>
            <w:lang w:eastAsia="ru-RU"/>
          </w:rPr>
          <w:t>Приложения №1,2,3,4 к договору управления Горная 8, корпус 1</w:t>
        </w:r>
      </w:hyperlink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>,2,3);</w:t>
      </w:r>
    </w:p>
    <w:p w14:paraId="01F13D24" w14:textId="3ED45723" w:rsidR="00352298" w:rsidRPr="00352298" w:rsidRDefault="00352298" w:rsidP="00352298">
      <w:pPr>
        <w:spacing w:after="75" w:line="444" w:lineRule="atLeast"/>
        <w:rPr>
          <w:rFonts w:ascii="Arial" w:eastAsia="Times New Roman" w:hAnsi="Arial" w:cs="Arial"/>
          <w:color w:val="070B0E"/>
          <w:sz w:val="24"/>
          <w:szCs w:val="24"/>
          <w:lang w:eastAsia="ru-RU"/>
        </w:rPr>
      </w:pPr>
      <w:proofErr w:type="spellStart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>S</w:t>
      </w:r>
      <w:r w:rsidRPr="00352298">
        <w:rPr>
          <w:rFonts w:ascii="Arial" w:eastAsia="Times New Roman" w:hAnsi="Arial" w:cs="Arial"/>
          <w:color w:val="070B0E"/>
          <w:sz w:val="24"/>
          <w:szCs w:val="24"/>
          <w:vertAlign w:val="subscript"/>
          <w:lang w:eastAsia="ru-RU"/>
        </w:rPr>
        <w:t>i</w:t>
      </w:r>
      <w:proofErr w:type="spellEnd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- общая площадь i-</w:t>
      </w:r>
      <w:proofErr w:type="spellStart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>го</w:t>
      </w:r>
      <w:proofErr w:type="spellEnd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жилого или нежилого помещения в многоквартирном доме</w:t>
      </w:r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>(</w:t>
      </w:r>
      <w:hyperlink r:id="rId7" w:tgtFrame="_blank" w:history="1">
        <w:r w:rsidRPr="00352298">
          <w:rPr>
            <w:rFonts w:ascii="Arial" w:eastAsia="Times New Roman" w:hAnsi="Arial" w:cs="Arial"/>
            <w:color w:val="070B0E"/>
            <w:sz w:val="24"/>
            <w:szCs w:val="24"/>
            <w:lang w:eastAsia="ru-RU"/>
          </w:rPr>
          <w:t>Приложения №1,2,3,4 к договору управления Горная 8, корпус 1</w:t>
        </w:r>
      </w:hyperlink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>,2,3)</w:t>
      </w:r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; </w:t>
      </w:r>
    </w:p>
    <w:p w14:paraId="1EC342AE" w14:textId="204669DB" w:rsidR="00352298" w:rsidRPr="00352298" w:rsidRDefault="00352298" w:rsidP="00352298">
      <w:pPr>
        <w:spacing w:after="75" w:line="444" w:lineRule="atLeast"/>
        <w:rPr>
          <w:rFonts w:ascii="Arial" w:eastAsia="Times New Roman" w:hAnsi="Arial" w:cs="Arial"/>
          <w:color w:val="070B0E"/>
          <w:sz w:val="24"/>
          <w:szCs w:val="24"/>
          <w:lang w:eastAsia="ru-RU"/>
        </w:rPr>
      </w:pPr>
      <w:proofErr w:type="spellStart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>S</w:t>
      </w:r>
      <w:r w:rsidRPr="00352298">
        <w:rPr>
          <w:rFonts w:ascii="Arial" w:eastAsia="Times New Roman" w:hAnsi="Arial" w:cs="Arial"/>
          <w:color w:val="070B0E"/>
          <w:sz w:val="24"/>
          <w:szCs w:val="24"/>
          <w:vertAlign w:val="superscript"/>
          <w:lang w:eastAsia="ru-RU"/>
        </w:rPr>
        <w:t>об</w:t>
      </w:r>
      <w:proofErr w:type="spellEnd"/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- общая площадь всех жилых и нежилых помещений в многоквартирном доме</w:t>
      </w:r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>(</w:t>
      </w:r>
      <w:hyperlink r:id="rId8" w:tgtFrame="_blank" w:history="1">
        <w:r w:rsidRPr="00352298">
          <w:rPr>
            <w:rFonts w:ascii="Arial" w:eastAsia="Times New Roman" w:hAnsi="Arial" w:cs="Arial"/>
            <w:color w:val="070B0E"/>
            <w:sz w:val="24"/>
            <w:szCs w:val="24"/>
            <w:lang w:eastAsia="ru-RU"/>
          </w:rPr>
          <w:t>Приложения №1,2,3,4 к договору управления Горная 8, корпус 1</w:t>
        </w:r>
      </w:hyperlink>
      <w:r>
        <w:rPr>
          <w:rFonts w:ascii="Arial" w:eastAsia="Times New Roman" w:hAnsi="Arial" w:cs="Arial"/>
          <w:color w:val="070B0E"/>
          <w:sz w:val="24"/>
          <w:szCs w:val="24"/>
          <w:lang w:eastAsia="ru-RU"/>
        </w:rPr>
        <w:t>,2,3)</w:t>
      </w:r>
      <w:r w:rsidRPr="00352298">
        <w:rPr>
          <w:rFonts w:ascii="Arial" w:eastAsia="Times New Roman" w:hAnsi="Arial" w:cs="Arial"/>
          <w:color w:val="070B0E"/>
          <w:sz w:val="24"/>
          <w:szCs w:val="24"/>
          <w:lang w:eastAsia="ru-RU"/>
        </w:rPr>
        <w:t xml:space="preserve">. </w:t>
      </w:r>
    </w:p>
    <w:p w14:paraId="4D31ED85" w14:textId="5EBCBE2D" w:rsidR="00352298" w:rsidRDefault="00352298" w:rsidP="00352298"/>
    <w:sectPr w:rsidR="0035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AD"/>
    <w:rsid w:val="00110EAD"/>
    <w:rsid w:val="00352298"/>
    <w:rsid w:val="004B18CC"/>
    <w:rsid w:val="00D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A6E0"/>
  <w15:chartTrackingRefBased/>
  <w15:docId w15:val="{ED7B4B11-E01D-4395-A48E-C88C7C4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ilver-bor.ru/wp-content/uploads/docs/pdf/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-silver-bor.ru/wp-content/uploads/docs/pdf/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silver-bor.ru/wp-content/uploads/docs/pdf/14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gkh.ru/upload/medialibrary/6d7/formyla_odn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2018-12-18T02:49:00Z</dcterms:created>
  <dcterms:modified xsi:type="dcterms:W3CDTF">2018-12-18T02:49:00Z</dcterms:modified>
</cp:coreProperties>
</file>