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E5" w:rsidRDefault="00146DE5">
      <w:pPr>
        <w:spacing w:line="1" w:lineRule="exact"/>
      </w:pPr>
    </w:p>
    <w:p w:rsidR="00967A47" w:rsidRDefault="00A65176" w:rsidP="000B60CE">
      <w:pPr>
        <w:pStyle w:val="1"/>
        <w:jc w:val="right"/>
      </w:pPr>
      <w:r>
        <w:t xml:space="preserve">Утверждено Общим собранием </w:t>
      </w:r>
    </w:p>
    <w:p w:rsidR="00146DE5" w:rsidRDefault="00967A47" w:rsidP="000B60CE">
      <w:pPr>
        <w:pStyle w:val="1"/>
        <w:jc w:val="right"/>
      </w:pPr>
      <w:r>
        <w:t xml:space="preserve">собственников помещений в </w:t>
      </w:r>
      <w:r w:rsidR="00A65176">
        <w:t>МКД</w:t>
      </w:r>
    </w:p>
    <w:p w:rsidR="00146DE5" w:rsidRDefault="000B60CE" w:rsidP="000B60CE">
      <w:pPr>
        <w:pStyle w:val="1"/>
        <w:tabs>
          <w:tab w:val="left" w:leader="underscore" w:pos="3446"/>
        </w:tabs>
        <w:jc w:val="right"/>
      </w:pPr>
      <w:r>
        <w:t xml:space="preserve">протокол № ___от «___» </w:t>
      </w:r>
      <w:r>
        <w:tab/>
        <w:t xml:space="preserve"> 2022</w:t>
      </w:r>
      <w:r w:rsidR="00A65176">
        <w:t xml:space="preserve"> г.</w:t>
      </w: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0B60CE" w:rsidRDefault="000B60CE" w:rsidP="000B60CE">
      <w:pPr>
        <w:pStyle w:val="30"/>
      </w:pPr>
    </w:p>
    <w:p w:rsidR="00146DE5" w:rsidRDefault="00A65176" w:rsidP="000B60CE">
      <w:pPr>
        <w:pStyle w:val="30"/>
      </w:pPr>
      <w:r>
        <w:t>ПОЛОЖЕНИЕ</w:t>
      </w:r>
    </w:p>
    <w:p w:rsidR="00146DE5" w:rsidRDefault="00A65176" w:rsidP="000B60CE">
      <w:pPr>
        <w:pStyle w:val="22"/>
        <w:spacing w:after="0"/>
      </w:pPr>
      <w:r>
        <w:t>о пропускном и внутриобъектовом режиме,</w:t>
      </w:r>
      <w:r>
        <w:br/>
        <w:t>на территории жилого комплекса «Серебряный Бор»</w:t>
      </w: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0B60CE" w:rsidRDefault="000B60CE" w:rsidP="000B60CE">
      <w:pPr>
        <w:pStyle w:val="1"/>
        <w:ind w:left="3060"/>
        <w:rPr>
          <w:b/>
          <w:bCs/>
        </w:rPr>
      </w:pPr>
    </w:p>
    <w:p w:rsidR="00146DE5" w:rsidRDefault="00A65176" w:rsidP="000B60CE">
      <w:pPr>
        <w:pStyle w:val="1"/>
        <w:jc w:val="center"/>
      </w:pPr>
      <w:r>
        <w:rPr>
          <w:b/>
          <w:bCs/>
        </w:rPr>
        <w:t>2022 г.</w:t>
      </w:r>
    </w:p>
    <w:p w:rsidR="00146DE5" w:rsidRDefault="00A65176">
      <w:pPr>
        <w:pStyle w:val="a5"/>
        <w:framePr w:wrap="none" w:vAnchor="page" w:hAnchor="page" w:x="10943" w:y="15645"/>
      </w:pPr>
      <w:r>
        <w:t>1</w:t>
      </w:r>
    </w:p>
    <w:p w:rsidR="00146DE5" w:rsidRDefault="00146DE5">
      <w:pPr>
        <w:spacing w:line="1" w:lineRule="exact"/>
        <w:sectPr w:rsidR="00146DE5" w:rsidSect="00342559">
          <w:pgSz w:w="11900" w:h="16840"/>
          <w:pgMar w:top="709" w:right="560" w:bottom="851" w:left="993" w:header="0" w:footer="3" w:gutter="0"/>
          <w:cols w:space="720"/>
          <w:noEndnote/>
          <w:docGrid w:linePitch="360"/>
        </w:sectPr>
      </w:pPr>
    </w:p>
    <w:p w:rsidR="00146DE5" w:rsidRDefault="00146DE5">
      <w:pPr>
        <w:spacing w:line="1" w:lineRule="exact"/>
      </w:pPr>
    </w:p>
    <w:p w:rsidR="00342559" w:rsidRDefault="00342559" w:rsidP="000B60CE">
      <w:pPr>
        <w:pStyle w:val="11"/>
        <w:spacing w:after="0"/>
      </w:pPr>
      <w:bookmarkStart w:id="0" w:name="bookmark0"/>
    </w:p>
    <w:p w:rsidR="00146DE5" w:rsidRDefault="00A65176" w:rsidP="000B60CE">
      <w:pPr>
        <w:pStyle w:val="11"/>
        <w:spacing w:after="0"/>
      </w:pPr>
      <w:r>
        <w:t>СОДЕРЖАНИЕ</w:t>
      </w:r>
      <w:bookmarkEnd w:id="0"/>
    </w:p>
    <w:p w:rsidR="000B60CE" w:rsidRDefault="000B60CE" w:rsidP="000B60CE">
      <w:pPr>
        <w:pStyle w:val="11"/>
        <w:spacing w:after="0"/>
      </w:pPr>
    </w:p>
    <w:p w:rsidR="000B60CE" w:rsidRDefault="000B60CE" w:rsidP="000B60CE">
      <w:pPr>
        <w:pStyle w:val="11"/>
        <w:spacing w:after="0"/>
      </w:pPr>
    </w:p>
    <w:p w:rsidR="000B60CE" w:rsidRDefault="000B60CE" w:rsidP="000B60CE">
      <w:pPr>
        <w:pStyle w:val="11"/>
        <w:spacing w:after="0"/>
      </w:pPr>
    </w:p>
    <w:p w:rsidR="000B60CE" w:rsidRDefault="000B60CE" w:rsidP="000B60CE">
      <w:pPr>
        <w:pStyle w:val="11"/>
        <w:spacing w:after="0"/>
      </w:pPr>
    </w:p>
    <w:p w:rsidR="00146DE5" w:rsidRDefault="00A65176" w:rsidP="000B60CE">
      <w:pPr>
        <w:pStyle w:val="1"/>
        <w:numPr>
          <w:ilvl w:val="0"/>
          <w:numId w:val="1"/>
        </w:numPr>
        <w:tabs>
          <w:tab w:val="left" w:pos="339"/>
        </w:tabs>
      </w:pPr>
      <w:r>
        <w:t>Общие положения.</w:t>
      </w:r>
    </w:p>
    <w:p w:rsidR="00146DE5" w:rsidRDefault="00A65176" w:rsidP="000B60CE">
      <w:pPr>
        <w:pStyle w:val="1"/>
        <w:numPr>
          <w:ilvl w:val="0"/>
          <w:numId w:val="1"/>
        </w:numPr>
        <w:tabs>
          <w:tab w:val="left" w:pos="358"/>
        </w:tabs>
      </w:pPr>
      <w:r>
        <w:t>Контрольно-пропускной режим.</w:t>
      </w:r>
    </w:p>
    <w:p w:rsidR="00146DE5" w:rsidRDefault="00A65176" w:rsidP="000B60CE">
      <w:pPr>
        <w:pStyle w:val="1"/>
        <w:numPr>
          <w:ilvl w:val="0"/>
          <w:numId w:val="1"/>
        </w:numPr>
        <w:tabs>
          <w:tab w:val="left" w:pos="354"/>
        </w:tabs>
      </w:pPr>
      <w:r>
        <w:t>Внутриобъектовый режим, правила парковки транспортных средств.</w:t>
      </w:r>
    </w:p>
    <w:p w:rsidR="00146DE5" w:rsidRDefault="00A65176">
      <w:pPr>
        <w:pStyle w:val="a5"/>
        <w:framePr w:wrap="none" w:vAnchor="page" w:hAnchor="page" w:x="10934" w:y="15645"/>
      </w:pPr>
      <w:r>
        <w:t>2</w:t>
      </w:r>
    </w:p>
    <w:p w:rsidR="00146DE5" w:rsidRDefault="00146DE5">
      <w:pPr>
        <w:spacing w:line="1" w:lineRule="exact"/>
        <w:sectPr w:rsidR="00146DE5" w:rsidSect="00342559">
          <w:pgSz w:w="11900" w:h="16840"/>
          <w:pgMar w:top="851" w:right="360" w:bottom="709" w:left="993" w:header="0" w:footer="3" w:gutter="0"/>
          <w:cols w:space="720"/>
          <w:noEndnote/>
          <w:docGrid w:linePitch="360"/>
        </w:sectPr>
      </w:pPr>
    </w:p>
    <w:p w:rsidR="00146DE5" w:rsidRDefault="00146DE5">
      <w:pPr>
        <w:spacing w:line="1" w:lineRule="exact"/>
      </w:pPr>
    </w:p>
    <w:p w:rsidR="00146DE5" w:rsidRDefault="00A65176" w:rsidP="000B60CE">
      <w:pPr>
        <w:pStyle w:val="11"/>
        <w:numPr>
          <w:ilvl w:val="0"/>
          <w:numId w:val="2"/>
        </w:numPr>
        <w:tabs>
          <w:tab w:val="left" w:pos="336"/>
        </w:tabs>
        <w:spacing w:after="0"/>
      </w:pPr>
      <w:bookmarkStart w:id="1" w:name="bookmark2"/>
      <w:r>
        <w:t>ОБЩИЕ ПОЛОЖЕНИЯ</w:t>
      </w:r>
      <w:bookmarkEnd w:id="1"/>
    </w:p>
    <w:p w:rsidR="00903190" w:rsidRDefault="00903190" w:rsidP="00903190">
      <w:pPr>
        <w:pStyle w:val="11"/>
        <w:tabs>
          <w:tab w:val="left" w:pos="336"/>
        </w:tabs>
        <w:spacing w:after="0"/>
        <w:jc w:val="left"/>
      </w:pPr>
    </w:p>
    <w:p w:rsidR="000B60CE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Настоящее Положение о пропускном и внутриобъектовом режимах (далее Положение) определяет порядок и правила организации пропускного и внутриобъектового режимов на территории жилого комплекса «</w:t>
      </w:r>
      <w:r w:rsidR="000B60CE">
        <w:t>Серебряный Бор</w:t>
      </w:r>
      <w:r>
        <w:t>»</w:t>
      </w:r>
      <w:r w:rsidR="000B60CE">
        <w:t>.</w:t>
      </w:r>
    </w:p>
    <w:p w:rsidR="00146DE5" w:rsidRDefault="000B60CE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Под жилым комплексом «Серебряный Бор», понимается территория, на которой расположены жилые дома, имеющие адрес: г. Южно-Сахалинск, ул. Горная, д. 8, корп. 1, 2, 3, 4, 5, 6, 7. Далее по тексту, жилой комплекс «Серебряный Бор» может именоваться, как Объект.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Контрольно-пропускной и внутриобъектовый режимы на Объекте устанавливаются в целях:</w:t>
      </w:r>
    </w:p>
    <w:p w:rsidR="00146DE5" w:rsidRDefault="00A65176" w:rsidP="000B60CE">
      <w:pPr>
        <w:pStyle w:val="1"/>
        <w:numPr>
          <w:ilvl w:val="0"/>
          <w:numId w:val="3"/>
        </w:numPr>
        <w:tabs>
          <w:tab w:val="left" w:pos="701"/>
        </w:tabs>
        <w:spacing w:line="259" w:lineRule="auto"/>
        <w:ind w:firstLine="360"/>
        <w:jc w:val="both"/>
      </w:pPr>
      <w:r>
        <w:t>защиты жизни и здоровья собственников и посетителей Объекта;</w:t>
      </w:r>
    </w:p>
    <w:p w:rsidR="00146DE5" w:rsidRDefault="00A65176" w:rsidP="000B60CE">
      <w:pPr>
        <w:pStyle w:val="1"/>
        <w:numPr>
          <w:ilvl w:val="0"/>
          <w:numId w:val="3"/>
        </w:numPr>
        <w:tabs>
          <w:tab w:val="left" w:pos="701"/>
        </w:tabs>
        <w:spacing w:line="259" w:lineRule="auto"/>
        <w:ind w:firstLine="360"/>
        <w:jc w:val="both"/>
      </w:pPr>
      <w:r>
        <w:t>предотвращения фактов хищений материальных ценностей Объекта;</w:t>
      </w:r>
    </w:p>
    <w:p w:rsidR="00146DE5" w:rsidRDefault="00A65176" w:rsidP="000B60CE">
      <w:pPr>
        <w:pStyle w:val="1"/>
        <w:numPr>
          <w:ilvl w:val="0"/>
          <w:numId w:val="3"/>
        </w:numPr>
        <w:tabs>
          <w:tab w:val="left" w:pos="701"/>
        </w:tabs>
        <w:spacing w:line="259" w:lineRule="auto"/>
        <w:ind w:firstLine="360"/>
        <w:jc w:val="both"/>
      </w:pPr>
      <w:r>
        <w:t>исключения возможности несанкционированного доступа на Объект;</w:t>
      </w:r>
    </w:p>
    <w:p w:rsidR="00146DE5" w:rsidRDefault="00A65176" w:rsidP="000B60CE">
      <w:pPr>
        <w:pStyle w:val="1"/>
        <w:numPr>
          <w:ilvl w:val="0"/>
          <w:numId w:val="3"/>
        </w:numPr>
        <w:tabs>
          <w:tab w:val="left" w:pos="701"/>
        </w:tabs>
        <w:ind w:left="720" w:hanging="360"/>
        <w:jc w:val="both"/>
      </w:pPr>
      <w:r>
        <w:t>установления порядка допуска собственников и посетителей на территорию Объекта;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Настоящее Положение вводится в действие решением общего собрания собственников Объекта.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Ответственность за общую организацию и ко</w:t>
      </w:r>
      <w:r w:rsidR="00342559">
        <w:t>нтроль за состоянием контрольно-</w:t>
      </w:r>
      <w:r>
        <w:t>пропускного и внутриобъектового режима на Объекте возлагается на управляющую компанию.</w:t>
      </w:r>
    </w:p>
    <w:p w:rsidR="00146DE5" w:rsidRDefault="00A65176" w:rsidP="00342559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Практическое осуществление пропускного режима возлагается на ЧОП</w:t>
      </w:r>
      <w:r w:rsidR="00342559">
        <w:t xml:space="preserve"> (частное охранное предприятие, с которым заключен договор на осуществление охраны Объекта).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Организация систематической разъяснительной работы среди собственников, а также ознакомление собственников и пос</w:t>
      </w:r>
      <w:r w:rsidR="00342559">
        <w:t xml:space="preserve">етителей с правилами </w:t>
      </w:r>
      <w:r>
        <w:t>пропускного и внутриобъектового режимов, с использованием локальной компьютерной сети, средств наглядной агитации (стендов, информационных щитов и др.), при выдаче электронных брелоков, возлагается на сотрудников управляющей компании.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Требования Положения обязательны для выполнения всеми собственниками и посетителями Объекта.</w:t>
      </w:r>
    </w:p>
    <w:p w:rsidR="00342559" w:rsidRDefault="00A65176" w:rsidP="00342559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Лица, нарушающие требования Положения, привлекаются к ответственности согласно административному, уголовному и гражданскому законодательству РФ.</w:t>
      </w:r>
    </w:p>
    <w:p w:rsidR="00146DE5" w:rsidRDefault="00342559" w:rsidP="00342559">
      <w:pPr>
        <w:pStyle w:val="1"/>
        <w:tabs>
          <w:tab w:val="left" w:pos="701"/>
        </w:tabs>
        <w:ind w:left="720"/>
        <w:jc w:val="both"/>
      </w:pPr>
      <w:r>
        <w:t xml:space="preserve"> </w:t>
      </w:r>
    </w:p>
    <w:p w:rsidR="00146DE5" w:rsidRDefault="00A65176" w:rsidP="000B60CE">
      <w:pPr>
        <w:pStyle w:val="11"/>
        <w:numPr>
          <w:ilvl w:val="0"/>
          <w:numId w:val="2"/>
        </w:numPr>
        <w:tabs>
          <w:tab w:val="left" w:pos="332"/>
        </w:tabs>
        <w:spacing w:after="300"/>
      </w:pPr>
      <w:bookmarkStart w:id="2" w:name="bookmark4"/>
      <w:r>
        <w:t>КОНТРОЛЬНО-ПРОПУСКНОЙ РЕЖИМ</w:t>
      </w:r>
      <w:bookmarkEnd w:id="2"/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697"/>
        </w:tabs>
        <w:ind w:left="720" w:hanging="720"/>
        <w:jc w:val="both"/>
      </w:pPr>
      <w:r>
        <w:t>Пропускной режим - обеспечивает санкционированный вход/выход (въезд/выезд) собственников и их гостей, а также сотрудников, работающих на территории ЖК. Пропускной режим исключает неправомерный и бесконтрольный вход/выход (въезд/выезд) лиц и транспортных средств на территорию ЖК.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697"/>
        </w:tabs>
        <w:ind w:left="720" w:hanging="720"/>
        <w:jc w:val="both"/>
      </w:pPr>
      <w:r>
        <w:t>Допуск физических лиц и транспортных средств на Территорию Объекта, их выход/выезд за ее пределы, осуществляется через контрольно-пропускные пункты (входные группы)</w:t>
      </w:r>
      <w:r w:rsidR="00B77CA0">
        <w:t>, оборудованные автоматическим шлагбаумом</w:t>
      </w:r>
      <w:r>
        <w:t>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697"/>
        </w:tabs>
        <w:ind w:left="720" w:hanging="720"/>
        <w:jc w:val="both"/>
      </w:pPr>
      <w:r>
        <w:t>Въезд</w:t>
      </w:r>
      <w:r w:rsidR="00B77CA0">
        <w:t>/выезд</w:t>
      </w:r>
      <w:r>
        <w:t xml:space="preserve"> транспортных средств, на территорию ЖК, осуществляется собственниками самостоятельно, при помощи брелока</w:t>
      </w:r>
      <w:r w:rsidR="00B77CA0">
        <w:t xml:space="preserve"> (пульта)</w:t>
      </w:r>
      <w:r w:rsidR="00903190">
        <w:t>, необходимого для автоматического открывания шлагбаума</w:t>
      </w:r>
      <w:r>
        <w:t>.</w:t>
      </w:r>
      <w:r w:rsidR="006C398E">
        <w:t xml:space="preserve"> Сотрудник охраны, осуществляющий пропускной режим, не обязан открывать шлагбаум собственникам помещений или проживающим в ЖК в отсутствии у них брелока (пульта).</w:t>
      </w:r>
    </w:p>
    <w:p w:rsidR="00B77CA0" w:rsidRDefault="006C398E" w:rsidP="000B60CE">
      <w:pPr>
        <w:pStyle w:val="1"/>
        <w:numPr>
          <w:ilvl w:val="1"/>
          <w:numId w:val="2"/>
        </w:numPr>
        <w:tabs>
          <w:tab w:val="left" w:pos="697"/>
        </w:tabs>
        <w:ind w:left="720" w:hanging="720"/>
        <w:jc w:val="both"/>
      </w:pPr>
      <w:r>
        <w:t xml:space="preserve">Транспортные средства граждан не являющихся собственниками помещений ЖК и не проживающие в нем </w:t>
      </w:r>
      <w:r>
        <w:t>(гости)</w:t>
      </w:r>
      <w:r>
        <w:t>, пропускаются на территорию при условии сообщения собственником помещений или проживающим в ЖК сотруднику охраны информации о транспортном средстве гостя</w:t>
      </w:r>
      <w:r w:rsidR="00B77CA0">
        <w:t>.</w:t>
      </w:r>
    </w:p>
    <w:p w:rsidR="00903190" w:rsidRDefault="00903190" w:rsidP="000B60CE">
      <w:pPr>
        <w:pStyle w:val="1"/>
        <w:numPr>
          <w:ilvl w:val="1"/>
          <w:numId w:val="2"/>
        </w:numPr>
        <w:tabs>
          <w:tab w:val="left" w:pos="697"/>
        </w:tabs>
        <w:ind w:left="720" w:hanging="720"/>
        <w:jc w:val="both"/>
      </w:pPr>
      <w:r>
        <w:t>Брелок приобретается каждым собст</w:t>
      </w:r>
      <w:r w:rsidR="00B77CA0">
        <w:t xml:space="preserve">венником помещения ЖК </w:t>
      </w:r>
      <w:r>
        <w:t>«Серебряный Бор», самостоятельно, через управляющую компанию.</w:t>
      </w:r>
      <w:r w:rsidR="00B77CA0">
        <w:t xml:space="preserve"> </w:t>
      </w:r>
    </w:p>
    <w:p w:rsidR="00146DE5" w:rsidRDefault="00903190" w:rsidP="00903190">
      <w:pPr>
        <w:pStyle w:val="1"/>
        <w:numPr>
          <w:ilvl w:val="1"/>
          <w:numId w:val="2"/>
        </w:numPr>
        <w:ind w:left="720" w:hanging="720"/>
        <w:jc w:val="both"/>
      </w:pPr>
      <w:r>
        <w:t xml:space="preserve">Въезд </w:t>
      </w:r>
      <w:r w:rsidR="00A65176">
        <w:t>транспортных</w:t>
      </w:r>
      <w:r>
        <w:t xml:space="preserve"> средств, </w:t>
      </w:r>
      <w:r w:rsidR="00A65176">
        <w:t>осуществляющих</w:t>
      </w:r>
      <w:r>
        <w:t xml:space="preserve"> </w:t>
      </w:r>
      <w:r w:rsidR="00A65176">
        <w:t>доставку</w:t>
      </w:r>
      <w:r>
        <w:t xml:space="preserve"> </w:t>
      </w:r>
      <w:r w:rsidR="00A65176">
        <w:t>или перевозку</w:t>
      </w:r>
      <w:r>
        <w:t xml:space="preserve"> товаров/грузов/пассажиров, </w:t>
      </w:r>
      <w:r w:rsidR="00A65176">
        <w:t>осуществляется</w:t>
      </w:r>
      <w:r>
        <w:t xml:space="preserve"> </w:t>
      </w:r>
      <w:r w:rsidR="00A65176">
        <w:t>посредством</w:t>
      </w:r>
      <w:r>
        <w:t xml:space="preserve"> </w:t>
      </w:r>
      <w:r w:rsidR="00A65176">
        <w:t>уведомления</w:t>
      </w:r>
      <w:r>
        <w:t xml:space="preserve"> </w:t>
      </w:r>
      <w:r w:rsidR="00A65176">
        <w:t>собственником сотрудников охраны об ожидании данного транспортного средства. Сообща</w:t>
      </w:r>
      <w:bookmarkStart w:id="3" w:name="_GoBack"/>
      <w:bookmarkEnd w:id="3"/>
      <w:r w:rsidR="00A65176">
        <w:t>ются, дата, марка и номер ожидаемого т/с.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697"/>
        </w:tabs>
        <w:ind w:left="720" w:hanging="720"/>
        <w:jc w:val="both"/>
      </w:pPr>
      <w:r>
        <w:t xml:space="preserve">Беспрепятственно допускается транспорт оперативных служб и правоохранительных органов, </w:t>
      </w:r>
      <w:r>
        <w:lastRenderedPageBreak/>
        <w:t>транспорт МЧС, автомобили скорой медицинской помощи</w:t>
      </w:r>
      <w:r w:rsidR="00903190">
        <w:t>, такси</w:t>
      </w:r>
      <w:r>
        <w:t>.</w:t>
      </w:r>
    </w:p>
    <w:p w:rsidR="00342559" w:rsidRDefault="00342559" w:rsidP="00342559">
      <w:pPr>
        <w:pStyle w:val="1"/>
        <w:tabs>
          <w:tab w:val="left" w:pos="697"/>
        </w:tabs>
        <w:jc w:val="both"/>
      </w:pPr>
    </w:p>
    <w:p w:rsidR="00146DE5" w:rsidRDefault="00146DE5">
      <w:pPr>
        <w:spacing w:line="1" w:lineRule="exact"/>
      </w:pPr>
    </w:p>
    <w:p w:rsidR="00146DE5" w:rsidRDefault="00A65176" w:rsidP="000B60CE">
      <w:pPr>
        <w:pStyle w:val="11"/>
        <w:numPr>
          <w:ilvl w:val="0"/>
          <w:numId w:val="2"/>
        </w:numPr>
        <w:tabs>
          <w:tab w:val="left" w:pos="332"/>
        </w:tabs>
        <w:spacing w:after="0"/>
      </w:pPr>
      <w:bookmarkStart w:id="4" w:name="bookmark6"/>
      <w:r>
        <w:t>ВНУТРИОБЪЕКТОВЫЙ РЕЖИМ</w:t>
      </w:r>
      <w:bookmarkEnd w:id="4"/>
    </w:p>
    <w:p w:rsidR="00903190" w:rsidRDefault="00903190" w:rsidP="00903190">
      <w:pPr>
        <w:pStyle w:val="11"/>
        <w:tabs>
          <w:tab w:val="left" w:pos="332"/>
        </w:tabs>
        <w:spacing w:after="0"/>
        <w:jc w:val="left"/>
      </w:pP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Внутриобъектовый режим - обеспечивает и включает в себя порядок нахождения на территории ЖК лиц и т/с, правила движения и парковки т/с на территории ЖК.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Собственники ЖК и их гости могут находиться на территории ЖК без ограничения времени и подчиняются лишь тем правилам и нормам поведения, которые обязательны для всех граждан без исключения</w:t>
      </w:r>
      <w:r w:rsidR="00903190">
        <w:t>, а так же установленным настоящим Положением</w:t>
      </w:r>
      <w:r>
        <w:t>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Рабочий день сотрудников фирм и организаций, находящихся на территории жилого комплекса, регламентируется их внутренним распорядком.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Служебные помещения, расположенные на территории жилого комплекса, открываются и закрываются самими работниками этих организаций с началом и окончанием рабочего дня. Контроль лиц, входящих (выходящих) в нежилые помещения, осуществляется сотрудниками действующих в них предприятий, с целью недопущения прохода посторонних лиц и вноса (выноса) запрещенных предметов (материалов).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Порядок проведения шумных строительных и ремонтных работ регламентируется нормативно-правовыми актами субъекта Российской Федерации.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Движение т/с во внутридомовой территории осуществляется со скоростью не более 10 км/час, в строгом соответствии с Правилами дорожного движения и парковки на территории жилого комплекса.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 xml:space="preserve">Парковка </w:t>
      </w:r>
      <w:r w:rsidR="00B77CA0">
        <w:t xml:space="preserve">и движение </w:t>
      </w:r>
      <w:r>
        <w:t xml:space="preserve">автотранспорта во внутридомовой территории ЖК, осуществляется водителями, </w:t>
      </w:r>
      <w:r w:rsidR="00B77CA0">
        <w:t>с учетом имеющейся разметки и установленных в ЖК дорожных знаков</w:t>
      </w:r>
      <w:r>
        <w:t>, с учетом требований прав и интересов других водителей, а также с учетом требований ПДД, пожарной безопасности и прав на свободное передвижение пешеходов</w:t>
      </w:r>
      <w:r w:rsidR="00B77CA0">
        <w:t>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 xml:space="preserve">Организация мероприятий по парковке автотранспорта на внутридомовой территории, в том числе организация парковочных мест для лиц, относящихся к </w:t>
      </w:r>
      <w:r>
        <w:rPr>
          <w:color w:val="2D2D2D"/>
        </w:rPr>
        <w:t xml:space="preserve">маломобильным группам населения, а также инвалидов 1 группы </w:t>
      </w:r>
      <w:r>
        <w:t>возлагается на Управляющую компанию.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 xml:space="preserve">При нарушении водителем транспортного средства правил парковки, в том числе парковка «вторым рядом», влекущих нарушения правил ПДД, пожарной безопасности, требований СНиП 2.07.01-89, требований СП 4.13130, на </w:t>
      </w:r>
      <w:r w:rsidR="00B77CA0">
        <w:t>ЧОП</w:t>
      </w:r>
      <w:r>
        <w:t xml:space="preserve"> возлагается обязанность по обеспечению (восстановлению) беспрепятственного проезда пожарной техники и др. т/с.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Мерами принудительного обеспечения проезда по проезжей части Жилого комплекса, обеспечения доступа пожарных машин автолестниц или автоподъемников, а также обеспечения выше указанных требований могут быть установка легкосъемных парковочных ограждений (полусферы, столбы, цепи).</w:t>
      </w:r>
    </w:p>
    <w:p w:rsidR="00146DE5" w:rsidRDefault="00A65176" w:rsidP="000B60CE">
      <w:pPr>
        <w:pStyle w:val="1"/>
        <w:numPr>
          <w:ilvl w:val="1"/>
          <w:numId w:val="2"/>
        </w:numPr>
        <w:tabs>
          <w:tab w:val="left" w:pos="701"/>
        </w:tabs>
        <w:ind w:left="720" w:hanging="720"/>
        <w:jc w:val="both"/>
      </w:pPr>
      <w:r>
        <w:t>Сотрудники управляющей компании, организаций и фирм, подрядных организаций, собственники жилых помещений, находящиеся на территории жилого комплекса, обязаны знать и лично соблюдать установленный пропускной и внутриобъектовый режимы на территории жилого комплекса, знакомить своих посетителей с правилами нахождения на территории жилого комплекса и нести ответственность за соблюдение установленных правил.</w:t>
      </w:r>
    </w:p>
    <w:p w:rsidR="00146DE5" w:rsidRDefault="00A65176">
      <w:pPr>
        <w:pStyle w:val="a5"/>
        <w:framePr w:wrap="none" w:vAnchor="page" w:hAnchor="page" w:x="10934" w:y="15645"/>
      </w:pPr>
      <w:r>
        <w:t>5</w:t>
      </w:r>
    </w:p>
    <w:p w:rsidR="00146DE5" w:rsidRDefault="00146DE5">
      <w:pPr>
        <w:spacing w:line="1" w:lineRule="exact"/>
      </w:pPr>
    </w:p>
    <w:sectPr w:rsidR="00146DE5" w:rsidSect="00B77CA0">
      <w:pgSz w:w="11900" w:h="16840"/>
      <w:pgMar w:top="851" w:right="560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89" w:rsidRDefault="005E1989">
      <w:r>
        <w:separator/>
      </w:r>
    </w:p>
  </w:endnote>
  <w:endnote w:type="continuationSeparator" w:id="0">
    <w:p w:rsidR="005E1989" w:rsidRDefault="005E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89" w:rsidRDefault="005E1989"/>
  </w:footnote>
  <w:footnote w:type="continuationSeparator" w:id="0">
    <w:p w:rsidR="005E1989" w:rsidRDefault="005E19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744E"/>
    <w:multiLevelType w:val="multilevel"/>
    <w:tmpl w:val="2B50F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B72C7B"/>
    <w:multiLevelType w:val="multilevel"/>
    <w:tmpl w:val="583E9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5D19C6"/>
    <w:multiLevelType w:val="multilevel"/>
    <w:tmpl w:val="EA2069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E5"/>
    <w:rsid w:val="000B60CE"/>
    <w:rsid w:val="000D71CB"/>
    <w:rsid w:val="00146DE5"/>
    <w:rsid w:val="00342559"/>
    <w:rsid w:val="005E1989"/>
    <w:rsid w:val="006C398E"/>
    <w:rsid w:val="00903190"/>
    <w:rsid w:val="00967A47"/>
    <w:rsid w:val="009C0BD9"/>
    <w:rsid w:val="00A65176"/>
    <w:rsid w:val="00AD4B63"/>
    <w:rsid w:val="00B77CA0"/>
    <w:rsid w:val="00C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3AAD"/>
  <w15:docId w15:val="{5C448D68-2821-45C2-8CBB-88EF29A4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6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Bogdanets</dc:creator>
  <cp:keywords/>
  <cp:lastModifiedBy>Пользователь</cp:lastModifiedBy>
  <cp:revision>5</cp:revision>
  <dcterms:created xsi:type="dcterms:W3CDTF">2022-06-27T22:39:00Z</dcterms:created>
  <dcterms:modified xsi:type="dcterms:W3CDTF">2022-07-19T00:10:00Z</dcterms:modified>
</cp:coreProperties>
</file>